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4"/>
        <w:ind w:firstLine="0" w:firstLineChars="0"/>
        <w:jc w:val="center"/>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第十六章</w:t>
      </w:r>
      <w:r>
        <w:rPr>
          <w:rFonts w:hint="eastAsia" w:cs="宋体" w:asciiTheme="minorEastAsia" w:hAnsiTheme="minorEastAsia" w:eastAsiaTheme="minorEastAsia"/>
          <w:b/>
          <w:bCs/>
          <w:color w:val="auto"/>
          <w:szCs w:val="21"/>
        </w:rPr>
        <w:tab/>
      </w:r>
      <w:r>
        <w:rPr>
          <w:rFonts w:hint="eastAsia" w:cs="宋体" w:asciiTheme="minorEastAsia" w:hAnsiTheme="minorEastAsia" w:eastAsiaTheme="minorEastAsia"/>
          <w:b/>
          <w:bCs/>
          <w:color w:val="auto"/>
          <w:szCs w:val="21"/>
        </w:rPr>
        <w:t>其他鉴证业务与相关服务业务</w:t>
      </w:r>
    </w:p>
    <w:p>
      <w:pPr>
        <w:pStyle w:val="14"/>
        <w:ind w:firstLine="0" w:firstLineChars="0"/>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一、单项选择题</w:t>
      </w:r>
    </w:p>
    <w:p>
      <w:pPr>
        <w:pStyle w:val="14"/>
        <w:ind w:firstLine="0" w:firstLineChars="0"/>
        <w:rPr>
          <w:rFonts w:cs="宋体" w:asciiTheme="minorEastAsia" w:hAnsiTheme="minorEastAsia" w:eastAsiaTheme="minorEastAsia"/>
          <w:color w:val="auto"/>
          <w:szCs w:val="21"/>
        </w:rPr>
      </w:pPr>
      <w:r>
        <w:rPr>
          <w:rFonts w:hint="eastAsia" w:asciiTheme="minorEastAsia" w:hAnsiTheme="minorEastAsia" w:eastAsiaTheme="minorEastAsia"/>
          <w:color w:val="auto"/>
          <w:szCs w:val="21"/>
        </w:rPr>
        <w:t>1、</w:t>
      </w:r>
      <w:bookmarkStart w:id="0" w:name="_Hlk117342848"/>
      <w:r>
        <w:rPr>
          <w:rFonts w:hint="eastAsia" w:cs="宋体" w:asciiTheme="minorEastAsia" w:hAnsiTheme="minorEastAsia" w:eastAsiaTheme="minorEastAsia"/>
          <w:color w:val="auto"/>
          <w:szCs w:val="21"/>
        </w:rPr>
        <w:t>财务报表审阅业务提供的保证程度是（    ）。</w:t>
      </w:r>
    </w:p>
    <w:bookmarkEnd w:id="0"/>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w:t>
      </w:r>
      <w:bookmarkStart w:id="1" w:name="_Hlk117342868"/>
      <w:r>
        <w:rPr>
          <w:rFonts w:hint="eastAsia" w:cs="宋体" w:asciiTheme="minorEastAsia" w:hAnsiTheme="minorEastAsia" w:eastAsiaTheme="minorEastAsia"/>
          <w:color w:val="auto"/>
          <w:szCs w:val="21"/>
        </w:rPr>
        <w:t>有限保证程度</w:t>
      </w:r>
      <w:bookmarkEnd w:id="1"/>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w:t>
      </w:r>
      <w:bookmarkStart w:id="2" w:name="_Hlk117342885"/>
      <w:r>
        <w:rPr>
          <w:rFonts w:hint="eastAsia" w:cs="宋体" w:asciiTheme="minorEastAsia" w:hAnsiTheme="minorEastAsia" w:eastAsiaTheme="minorEastAsia"/>
          <w:color w:val="auto"/>
          <w:szCs w:val="21"/>
        </w:rPr>
        <w:t>合理保证</w:t>
      </w:r>
    </w:p>
    <w:bookmarkEnd w:id="2"/>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w:t>
      </w:r>
      <w:bookmarkStart w:id="3" w:name="_Hlk117343027"/>
      <w:r>
        <w:rPr>
          <w:rFonts w:hint="eastAsia" w:cs="宋体" w:asciiTheme="minorEastAsia" w:hAnsiTheme="minorEastAsia" w:eastAsiaTheme="minorEastAsia"/>
          <w:color w:val="auto"/>
          <w:szCs w:val="21"/>
        </w:rPr>
        <w:t>不提供任何程度保证</w:t>
      </w:r>
      <w:bookmarkEnd w:id="3"/>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w:t>
      </w:r>
      <w:bookmarkStart w:id="4" w:name="_Hlk117343043"/>
      <w:r>
        <w:rPr>
          <w:rFonts w:hint="eastAsia" w:cs="宋体" w:asciiTheme="minorEastAsia" w:hAnsiTheme="minorEastAsia" w:eastAsiaTheme="minorEastAsia"/>
          <w:color w:val="auto"/>
          <w:szCs w:val="21"/>
          <w:lang w:val="en-US" w:eastAsia="zh-CN"/>
        </w:rPr>
        <w:t>有限</w:t>
      </w:r>
      <w:bookmarkStart w:id="28" w:name="_GoBack"/>
      <w:bookmarkEnd w:id="28"/>
      <w:r>
        <w:rPr>
          <w:rFonts w:hint="eastAsia" w:cs="宋体" w:asciiTheme="minorEastAsia" w:hAnsiTheme="minorEastAsia" w:eastAsiaTheme="minorEastAsia"/>
          <w:color w:val="auto"/>
          <w:szCs w:val="21"/>
        </w:rPr>
        <w:t>保证和合理保证同时存在</w:t>
      </w:r>
      <w:bookmarkEnd w:id="4"/>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w:t>
      </w:r>
      <w:r>
        <w:rPr>
          <w:rFonts w:asciiTheme="minorEastAsia" w:hAnsiTheme="minorEastAsia" w:eastAsiaTheme="minorEastAsia"/>
          <w:color w:val="auto"/>
          <w:szCs w:val="21"/>
        </w:rPr>
        <w:t>A</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【解析】财务报表审阅业务提供的是有限保证。</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2、</w:t>
      </w:r>
      <w:bookmarkStart w:id="5" w:name="_Hlk117344196"/>
      <w:r>
        <w:rPr>
          <w:rFonts w:hint="eastAsia" w:asciiTheme="minorEastAsia" w:hAnsiTheme="minorEastAsia" w:eastAsiaTheme="minorEastAsia"/>
          <w:color w:val="auto"/>
          <w:szCs w:val="21"/>
        </w:rPr>
        <w:t>审阅报告范围段的内容不应包括</w:t>
      </w:r>
      <w:bookmarkEnd w:id="5"/>
      <w:r>
        <w:rPr>
          <w:rFonts w:hint="eastAsia" w:asciiTheme="minorEastAsia" w:hAnsiTheme="minorEastAsia" w:eastAsiaTheme="minorEastAsia"/>
          <w:color w:val="auto"/>
          <w:szCs w:val="21"/>
        </w:rPr>
        <w:t>（    ）。</w:t>
      </w:r>
    </w:p>
    <w:p>
      <w:pPr>
        <w:ind w:firstLine="420" w:firstLineChars="200"/>
        <w:jc w:val="left"/>
        <w:rPr>
          <w:rFonts w:asciiTheme="minorEastAsia" w:hAnsiTheme="minorEastAsia" w:eastAsiaTheme="minorEastAsia"/>
          <w:color w:val="auto"/>
          <w:szCs w:val="21"/>
        </w:rPr>
      </w:pPr>
      <w:bookmarkStart w:id="6" w:name="_Hlk117344208"/>
      <w:r>
        <w:rPr>
          <w:rFonts w:hint="eastAsia" w:asciiTheme="minorEastAsia" w:hAnsiTheme="minorEastAsia" w:eastAsiaTheme="minorEastAsia"/>
          <w:color w:val="auto"/>
          <w:szCs w:val="21"/>
        </w:rPr>
        <w:t>A.所审阅财务报表的名称</w:t>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p>
    <w:p>
      <w:p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B.</w:t>
      </w:r>
      <w:r>
        <w:rPr>
          <w:rFonts w:hint="eastAsia" w:asciiTheme="minorEastAsia" w:hAnsiTheme="minorEastAsia" w:eastAsiaTheme="minorEastAsia"/>
          <w:color w:val="auto"/>
          <w:szCs w:val="21"/>
          <w:lang w:val="en-US" w:eastAsia="zh-CN"/>
        </w:rPr>
        <w:t>审阅业务所依据的准则</w:t>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p>
    <w:p>
      <w:p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C.审阅主要限于询问和实施分析程序，提供的保证程度低于审计</w:t>
      </w:r>
      <w:r>
        <w:rPr>
          <w:rFonts w:hint="eastAsia" w:asciiTheme="minorEastAsia" w:hAnsiTheme="minorEastAsia" w:eastAsiaTheme="minorEastAsia"/>
          <w:color w:val="auto"/>
          <w:szCs w:val="21"/>
        </w:rPr>
        <w:tab/>
      </w:r>
      <w:r>
        <w:rPr>
          <w:rFonts w:hint="eastAsia" w:asciiTheme="minorEastAsia" w:hAnsiTheme="minorEastAsia" w:eastAsiaTheme="minorEastAsia"/>
          <w:color w:val="auto"/>
          <w:szCs w:val="21"/>
        </w:rPr>
        <w:tab/>
      </w:r>
    </w:p>
    <w:p>
      <w:pPr>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D.没有实施审计，因而不发表审计意见</w:t>
      </w:r>
    </w:p>
    <w:bookmarkEnd w:id="6"/>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w:t>
      </w:r>
      <w:r>
        <w:rPr>
          <w:rFonts w:asciiTheme="minorEastAsia" w:hAnsiTheme="minorEastAsia" w:eastAsiaTheme="minorEastAsia"/>
          <w:color w:val="auto"/>
          <w:szCs w:val="21"/>
        </w:rPr>
        <w:t>A</w:t>
      </w:r>
    </w:p>
    <w:p>
      <w:pPr>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【解析】所审阅财务报表的名称属于在审阅报告引言段应说明的内容。</w:t>
      </w:r>
    </w:p>
    <w:p>
      <w:pPr>
        <w:pStyle w:val="14"/>
        <w:ind w:firstLine="0" w:firstLineChars="0"/>
        <w:rPr>
          <w:rFonts w:cs="宋体" w:asciiTheme="minorEastAsia" w:hAnsiTheme="minorEastAsia" w:eastAsiaTheme="minorEastAsia"/>
          <w:color w:val="auto"/>
          <w:szCs w:val="21"/>
        </w:rPr>
      </w:pPr>
      <w:r>
        <w:rPr>
          <w:rFonts w:cs="宋体" w:asciiTheme="minorEastAsia" w:hAnsiTheme="minorEastAsia" w:eastAsiaTheme="minorEastAsia"/>
          <w:color w:val="auto"/>
          <w:szCs w:val="21"/>
        </w:rPr>
        <w:t>3</w:t>
      </w:r>
      <w:r>
        <w:rPr>
          <w:rFonts w:hint="eastAsia" w:cs="宋体" w:asciiTheme="minorEastAsia" w:hAnsiTheme="minorEastAsia" w:eastAsiaTheme="minorEastAsia"/>
          <w:color w:val="auto"/>
          <w:szCs w:val="21"/>
        </w:rPr>
        <w:t>、</w:t>
      </w:r>
      <w:bookmarkStart w:id="7" w:name="_Hlk117344631"/>
      <w:r>
        <w:rPr>
          <w:rFonts w:hint="eastAsia" w:cs="宋体" w:asciiTheme="minorEastAsia" w:hAnsiTheme="minorEastAsia" w:eastAsiaTheme="minorEastAsia"/>
          <w:color w:val="auto"/>
          <w:szCs w:val="21"/>
        </w:rPr>
        <w:t>注册会计师在执行审阅业务过程中，如果认为存在重大的范围限制，且该范围限制的影响非常重大和广泛，以致于注册会计师认为不能提供任何程度的保证时，应出具的意见类型为</w:t>
      </w:r>
      <w:bookmarkEnd w:id="7"/>
      <w:r>
        <w:rPr>
          <w:rFonts w:hint="eastAsia" w:cs="宋体" w:asciiTheme="minorEastAsia" w:hAnsiTheme="minorEastAsia" w:eastAsiaTheme="minorEastAsia"/>
          <w:color w:val="auto"/>
          <w:szCs w:val="21"/>
        </w:rPr>
        <w:t>（    ）。</w:t>
      </w:r>
    </w:p>
    <w:p>
      <w:pPr>
        <w:pStyle w:val="14"/>
        <w:rPr>
          <w:rFonts w:cs="宋体" w:asciiTheme="minorEastAsia" w:hAnsiTheme="minorEastAsia" w:eastAsiaTheme="minorEastAsia"/>
          <w:color w:val="auto"/>
          <w:szCs w:val="21"/>
        </w:rPr>
      </w:pPr>
      <w:bookmarkStart w:id="8" w:name="_Hlk117344714"/>
      <w:r>
        <w:rPr>
          <w:rFonts w:hint="eastAsia" w:cs="宋体" w:asciiTheme="minorEastAsia" w:hAnsiTheme="minorEastAsia" w:eastAsiaTheme="minorEastAsia"/>
          <w:color w:val="auto"/>
          <w:szCs w:val="21"/>
        </w:rPr>
        <w:t>A.保留意见</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B.带强调事项段的保留意见</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C.无法提供任何保证</w:t>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ab/>
      </w:r>
      <w:r>
        <w:rPr>
          <w:rFonts w:hint="eastAsia" w:cs="宋体" w:asciiTheme="minorEastAsia" w:hAnsiTheme="minorEastAsia" w:eastAsiaTheme="minorEastAsia"/>
          <w:color w:val="auto"/>
          <w:szCs w:val="21"/>
        </w:rPr>
        <w:t>D.无法表示意见</w:t>
      </w:r>
    </w:p>
    <w:bookmarkEnd w:id="8"/>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【答案】C</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【解析】当注册会计师认为不能提供任何程度的保证时，只能出具无法提供任何保证的审阅报告。</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4</w:t>
      </w:r>
      <w:r>
        <w:rPr>
          <w:rFonts w:hint="eastAsia" w:cs="宋体" w:asciiTheme="minorEastAsia" w:hAnsiTheme="minorEastAsia" w:eastAsiaTheme="minorEastAsia"/>
          <w:color w:val="auto"/>
          <w:szCs w:val="21"/>
        </w:rPr>
        <w:t>、</w:t>
      </w:r>
      <w:bookmarkStart w:id="9" w:name="_Hlk117344761"/>
      <w:r>
        <w:rPr>
          <w:rFonts w:hint="eastAsia" w:cs="宋体" w:asciiTheme="minorEastAsia" w:hAnsiTheme="minorEastAsia" w:eastAsiaTheme="minorEastAsia"/>
          <w:color w:val="auto"/>
          <w:szCs w:val="21"/>
        </w:rPr>
        <w:t>以下关于财务报表的审计业务和审阅业务对比的陈述不正确的有()。</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A.审计业务属于合理保证的鉴证业务</w:t>
      </w:r>
      <w:r>
        <w:rPr>
          <w:rFonts w:hint="eastAsia" w:cs="宋体" w:asciiTheme="minorEastAsia" w:hAnsiTheme="minorEastAsia" w:eastAsiaTheme="minorEastAsia"/>
          <w:color w:val="auto"/>
          <w:szCs w:val="21"/>
          <w:lang w:eastAsia="zh-CN"/>
        </w:rPr>
        <w:t>；</w:t>
      </w:r>
      <w:r>
        <w:rPr>
          <w:rFonts w:hint="eastAsia" w:cs="宋体" w:asciiTheme="minorEastAsia" w:hAnsiTheme="minorEastAsia" w:eastAsiaTheme="minorEastAsia"/>
          <w:color w:val="auto"/>
          <w:szCs w:val="21"/>
        </w:rPr>
        <w:t>审阅业务属于有限保证的鉴证业务。</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B.审计业务以积极方式提供合理保证</w:t>
      </w:r>
      <w:r>
        <w:rPr>
          <w:rFonts w:hint="eastAsia" w:cs="宋体" w:asciiTheme="minorEastAsia" w:hAnsiTheme="minorEastAsia" w:eastAsiaTheme="minorEastAsia"/>
          <w:color w:val="auto"/>
          <w:szCs w:val="21"/>
          <w:lang w:eastAsia="zh-CN"/>
        </w:rPr>
        <w:t>；</w:t>
      </w:r>
      <w:r>
        <w:rPr>
          <w:rFonts w:hint="eastAsia" w:cs="宋体" w:asciiTheme="minorEastAsia" w:hAnsiTheme="minorEastAsia" w:eastAsiaTheme="minorEastAsia"/>
          <w:color w:val="auto"/>
          <w:szCs w:val="21"/>
        </w:rPr>
        <w:t>审阅业务以消极方式提供有限保证。</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审计业务审计程序包括检查记录或文件、检查有形资产、观察、询问、函证、重新计算、重新执行、分析程序等;审阅业务以询问和分析程序为主，只有当有理由相信所审阅的财务报表可能存在重大错报时才需要追加其他程序。</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D.审计业务和审阅业务的执业标准都是中国注册会计师审计准则。</w:t>
      </w:r>
    </w:p>
    <w:bookmarkEnd w:id="9"/>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【答案】</w:t>
      </w:r>
      <w:r>
        <w:rPr>
          <w:rFonts w:cs="宋体" w:asciiTheme="minorEastAsia" w:hAnsiTheme="minorEastAsia" w:eastAsiaTheme="minorEastAsia"/>
          <w:color w:val="auto"/>
          <w:szCs w:val="21"/>
        </w:rPr>
        <w:t>D</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【解析】审计业务的执业标准是中国注册会计师审计准则。审阅业务的执业标准是《中国注册会计师审阅准则第2101号-财务报表审阅》。</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5</w:t>
      </w:r>
      <w:r>
        <w:rPr>
          <w:rFonts w:hint="eastAsia" w:cs="宋体" w:asciiTheme="minorEastAsia" w:hAnsiTheme="minorEastAsia" w:eastAsiaTheme="minorEastAsia"/>
          <w:color w:val="auto"/>
          <w:szCs w:val="21"/>
        </w:rPr>
        <w:t>、</w:t>
      </w:r>
      <w:bookmarkStart w:id="10" w:name="_Hlk117344905"/>
      <w:r>
        <w:rPr>
          <w:rFonts w:hint="eastAsia" w:cs="宋体" w:asciiTheme="minorEastAsia" w:hAnsiTheme="minorEastAsia" w:eastAsiaTheme="minorEastAsia"/>
          <w:color w:val="auto"/>
          <w:szCs w:val="21"/>
        </w:rPr>
        <w:t>以下对内部控制审核业务的理解不恰当的是</w:t>
      </w:r>
      <w:r>
        <w:rPr>
          <w:rFonts w:hint="eastAsia" w:asciiTheme="minorEastAsia" w:hAnsiTheme="minorEastAsia" w:eastAsiaTheme="minorEastAsia"/>
          <w:color w:val="auto"/>
          <w:szCs w:val="21"/>
        </w:rPr>
        <w:t>（    ）。</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A.内部控制审核业务是一项专门鉴证业务</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B.内部控制审核的范围限于特定日期与内部控制相关方面进行审核</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C.内部控制审核的范围限于特定日期与财务报表相关的内部控制</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D.被审核单位管理层应当就内部控制的有效性提供书面认定</w:t>
      </w:r>
    </w:p>
    <w:bookmarkEnd w:id="10"/>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【答案】B</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【解析】审核范围强调特定日期与财务报表相关的内部控制。</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lang w:val="en-US" w:eastAsia="zh-CN"/>
        </w:rPr>
        <w:t>6</w:t>
      </w:r>
      <w:r>
        <w:rPr>
          <w:rFonts w:hint="eastAsia" w:cs="宋体" w:asciiTheme="minorEastAsia" w:hAnsiTheme="minorEastAsia" w:eastAsiaTheme="minorEastAsia"/>
          <w:color w:val="auto"/>
          <w:szCs w:val="21"/>
        </w:rPr>
        <w:t>、</w:t>
      </w:r>
      <w:bookmarkStart w:id="11" w:name="_Hlk117344931"/>
      <w:r>
        <w:rPr>
          <w:rFonts w:hint="eastAsia" w:cs="宋体" w:asciiTheme="minorEastAsia" w:hAnsiTheme="minorEastAsia" w:eastAsiaTheme="minorEastAsia"/>
          <w:color w:val="auto"/>
          <w:szCs w:val="21"/>
        </w:rPr>
        <w:t>执行内部控制审核业务时，注册会计师应在其出具的内部控制审核报告的固有限制段中说明以下</w:t>
      </w:r>
      <w:r>
        <w:rPr>
          <w:rFonts w:hint="eastAsia" w:asciiTheme="minorEastAsia" w:hAnsiTheme="minorEastAsia" w:eastAsiaTheme="minorEastAsia"/>
          <w:color w:val="auto"/>
          <w:szCs w:val="21"/>
        </w:rPr>
        <w:t>（    ）</w:t>
      </w:r>
      <w:r>
        <w:rPr>
          <w:rFonts w:hint="eastAsia" w:cs="宋体" w:asciiTheme="minorEastAsia" w:hAnsiTheme="minorEastAsia" w:eastAsiaTheme="minorEastAsia"/>
          <w:color w:val="auto"/>
          <w:szCs w:val="21"/>
        </w:rPr>
        <w:t>内容。</w:t>
      </w:r>
    </w:p>
    <w:p>
      <w:pPr>
        <w:pStyle w:val="14"/>
        <w:rPr>
          <w:rFonts w:cs="宋体" w:asciiTheme="minorEastAsia" w:hAnsiTheme="minorEastAsia" w:eastAsiaTheme="minorEastAsia"/>
          <w:color w:val="auto"/>
          <w:szCs w:val="21"/>
        </w:rPr>
      </w:pPr>
      <w:bookmarkStart w:id="12" w:name="_Hlk117345317"/>
      <w:r>
        <w:rPr>
          <w:rFonts w:hint="eastAsia" w:cs="宋体" w:asciiTheme="minorEastAsia" w:hAnsiTheme="minorEastAsia" w:eastAsiaTheme="minorEastAsia"/>
          <w:color w:val="auto"/>
          <w:szCs w:val="21"/>
        </w:rPr>
        <w:t>A.管理当局的责任是建立健全内部控制并保持其有效性</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B.实施了包括了解、测试、评价内部控制设计、执行情况的必要程序</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C.所执行的审核程序为发表审核意见提供了合理的基础</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D.根据内部控制评价结果推测其未来的有效性具有--定的风险</w:t>
      </w:r>
    </w:p>
    <w:bookmarkEnd w:id="11"/>
    <w:bookmarkEnd w:id="12"/>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【答案】</w:t>
      </w:r>
      <w:r>
        <w:rPr>
          <w:rFonts w:cs="宋体" w:asciiTheme="minorEastAsia" w:hAnsiTheme="minorEastAsia" w:eastAsiaTheme="minorEastAsia"/>
          <w:color w:val="auto"/>
          <w:szCs w:val="21"/>
        </w:rPr>
        <w:t>D</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【解析】A属于引言段；B属于范围段，但叙述不准确；C属于范围段。</w:t>
      </w:r>
    </w:p>
    <w:p>
      <w:pPr>
        <w:pStyle w:val="14"/>
        <w:ind w:firstLine="0" w:firstLineChars="0"/>
        <w:rPr>
          <w:rFonts w:cs="宋体" w:asciiTheme="minorEastAsia" w:hAnsiTheme="minorEastAsia" w:eastAsiaTheme="minorEastAsia"/>
          <w:color w:val="auto"/>
          <w:szCs w:val="21"/>
        </w:rPr>
      </w:pPr>
      <w:bookmarkStart w:id="13" w:name="_Hlk117345469"/>
      <w:r>
        <w:rPr>
          <w:rFonts w:hint="eastAsia" w:cs="宋体" w:asciiTheme="minorEastAsia" w:hAnsiTheme="minorEastAsia" w:eastAsiaTheme="minorEastAsia"/>
          <w:color w:val="auto"/>
          <w:szCs w:val="21"/>
          <w:lang w:val="en-US" w:eastAsia="zh-CN"/>
        </w:rPr>
        <w:t>7</w:t>
      </w:r>
      <w:r>
        <w:rPr>
          <w:rFonts w:hint="eastAsia" w:cs="宋体" w:asciiTheme="minorEastAsia" w:hAnsiTheme="minorEastAsia" w:eastAsiaTheme="minorEastAsia"/>
          <w:color w:val="auto"/>
          <w:szCs w:val="21"/>
        </w:rPr>
        <w:t>、注册会计师执行商定程序业务的对象是财务信息。这些财务信息涉及的范围很广，但通常不包括下列</w:t>
      </w:r>
      <w:r>
        <w:rPr>
          <w:rFonts w:hint="eastAsia" w:asciiTheme="minorEastAsia" w:hAnsiTheme="minorEastAsia" w:eastAsiaTheme="minorEastAsia"/>
          <w:color w:val="auto"/>
          <w:szCs w:val="21"/>
        </w:rPr>
        <w:t>（    ）</w:t>
      </w:r>
      <w:r>
        <w:rPr>
          <w:rFonts w:hint="eastAsia" w:cs="宋体" w:asciiTheme="minorEastAsia" w:hAnsiTheme="minorEastAsia" w:eastAsiaTheme="minorEastAsia"/>
          <w:color w:val="auto"/>
          <w:szCs w:val="21"/>
        </w:rPr>
        <w:t>信息。</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A.可能是财务报表特定项目、特定账户或特定账户的特定内容</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B.可能直接出现在财务报表或其附注中</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C.可能是通过分析、累计、汇总等计算间接得出的</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D.可能直接取自相关的经济协议或财务预算资料</w:t>
      </w:r>
    </w:p>
    <w:bookmarkEnd w:id="13"/>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【答案】</w:t>
      </w:r>
      <w:r>
        <w:rPr>
          <w:rFonts w:cs="宋体" w:asciiTheme="minorEastAsia" w:hAnsiTheme="minorEastAsia" w:eastAsiaTheme="minorEastAsia"/>
          <w:color w:val="auto"/>
          <w:szCs w:val="21"/>
        </w:rPr>
        <w:t>D</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【解析】这里的财务信息应当是历史财务信息，D中信息不属于历史信息。</w:t>
      </w:r>
    </w:p>
    <w:p>
      <w:pPr>
        <w:pStyle w:val="14"/>
        <w:ind w:firstLine="0" w:firstLineChars="0"/>
        <w:rPr>
          <w:rFonts w:cs="宋体" w:asciiTheme="minorEastAsia" w:hAnsiTheme="minorEastAsia" w:eastAsiaTheme="minorEastAsia"/>
          <w:color w:val="auto"/>
          <w:szCs w:val="21"/>
        </w:rPr>
      </w:pPr>
      <w:bookmarkStart w:id="14" w:name="_Hlk117345514"/>
      <w:r>
        <w:rPr>
          <w:rFonts w:hint="eastAsia" w:cs="宋体" w:asciiTheme="minorEastAsia" w:hAnsiTheme="minorEastAsia" w:eastAsiaTheme="minorEastAsia"/>
          <w:color w:val="auto"/>
          <w:szCs w:val="21"/>
          <w:lang w:val="en-US" w:eastAsia="zh-CN"/>
        </w:rPr>
        <w:t>8</w:t>
      </w:r>
      <w:r>
        <w:rPr>
          <w:rFonts w:hint="eastAsia" w:cs="宋体" w:asciiTheme="minorEastAsia" w:hAnsiTheme="minorEastAsia" w:eastAsiaTheme="minorEastAsia"/>
          <w:color w:val="auto"/>
          <w:szCs w:val="21"/>
        </w:rPr>
        <w:t>、注册会计师为乙公司提供代编财务报表服务时，必须执行下列</w:t>
      </w:r>
      <w:r>
        <w:rPr>
          <w:rFonts w:hint="eastAsia" w:asciiTheme="minorEastAsia" w:hAnsiTheme="minorEastAsia" w:eastAsiaTheme="minorEastAsia"/>
          <w:color w:val="auto"/>
          <w:szCs w:val="21"/>
        </w:rPr>
        <w:t>（    ）</w:t>
      </w:r>
      <w:r>
        <w:rPr>
          <w:rFonts w:hint="eastAsia" w:cs="宋体" w:asciiTheme="minorEastAsia" w:hAnsiTheme="minorEastAsia" w:eastAsiaTheme="minorEastAsia"/>
          <w:color w:val="auto"/>
          <w:szCs w:val="21"/>
        </w:rPr>
        <w:t>程序。</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A.评价内部控制</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B.询问客户管理层以评价所提供的信息的可靠性和完整性</w:t>
      </w:r>
    </w:p>
    <w:p>
      <w:pPr>
        <w:pStyle w:val="14"/>
        <w:rPr>
          <w:rFonts w:cs="宋体" w:asciiTheme="minorEastAsia" w:hAnsiTheme="minorEastAsia" w:eastAsiaTheme="minorEastAsia"/>
          <w:color w:val="auto"/>
          <w:szCs w:val="21"/>
        </w:rPr>
      </w:pPr>
      <w:r>
        <w:rPr>
          <w:rFonts w:cs="宋体" w:asciiTheme="minorEastAsia" w:hAnsiTheme="minorEastAsia" w:eastAsiaTheme="minorEastAsia"/>
          <w:color w:val="auto"/>
          <w:szCs w:val="21"/>
        </w:rPr>
        <w:t>C.</w:t>
      </w:r>
      <w:r>
        <w:rPr>
          <w:rFonts w:hint="eastAsia" w:cs="宋体" w:asciiTheme="minorEastAsia" w:hAnsiTheme="minorEastAsia" w:eastAsiaTheme="minorEastAsia"/>
          <w:color w:val="auto"/>
          <w:szCs w:val="21"/>
        </w:rPr>
        <w:t>监盘库存存货</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D.要求客户管理层更正在执业过程中注意到的重大错报</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【答案】D</w:t>
      </w:r>
    </w:p>
    <w:p>
      <w:pPr>
        <w:pStyle w:val="14"/>
        <w:ind w:firstLine="0" w:firstLineChars="0"/>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【解析】一般不执行程序，A和B属于明文规定，C属于审计程序。对于注意大的重大报，则应要求客户更正，如果客户拒绝更正，注册会计师应当解除业务约定。</w:t>
      </w:r>
      <w:bookmarkEnd w:id="14"/>
    </w:p>
    <w:p>
      <w:pPr>
        <w:pStyle w:val="14"/>
        <w:ind w:firstLine="0" w:firstLineChars="0"/>
        <w:rPr>
          <w:rFonts w:cs="宋体" w:asciiTheme="minorEastAsia" w:hAnsiTheme="minorEastAsia" w:eastAsiaTheme="minorEastAsia"/>
          <w:color w:val="auto"/>
          <w:szCs w:val="21"/>
        </w:rPr>
      </w:pPr>
    </w:p>
    <w:p>
      <w:pPr>
        <w:pStyle w:val="14"/>
        <w:ind w:firstLine="0" w:firstLineChars="0"/>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二、多项选择题</w:t>
      </w:r>
    </w:p>
    <w:p>
      <w:pPr>
        <w:pStyle w:val="14"/>
        <w:ind w:firstLine="0" w:firstLineChars="0"/>
        <w:rPr>
          <w:rFonts w:asciiTheme="minorEastAsia" w:hAnsiTheme="minorEastAsia" w:eastAsiaTheme="minorEastAsia"/>
          <w:color w:val="auto"/>
          <w:szCs w:val="21"/>
        </w:rPr>
      </w:pPr>
      <w:bookmarkStart w:id="15" w:name="_Hlk117345643"/>
      <w:r>
        <w:rPr>
          <w:rFonts w:hint="eastAsia" w:asciiTheme="minorEastAsia" w:hAnsiTheme="minorEastAsia" w:eastAsiaTheme="minorEastAsia"/>
          <w:color w:val="auto"/>
          <w:szCs w:val="21"/>
        </w:rPr>
        <w:t>1、下列关于财务报表审阅业务的说法中，正确的有</w:t>
      </w:r>
      <w:r>
        <w:rPr>
          <w:rFonts w:hint="eastAsia" w:cs="宋体" w:asciiTheme="minorEastAsia" w:hAnsiTheme="minorEastAsia" w:eastAsiaTheme="minorEastAsia"/>
          <w:color w:val="auto"/>
          <w:szCs w:val="21"/>
        </w:rPr>
        <w:t>（    ）。</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A.由于审阅程序有限，注册会计师只能获取支持有限保证的证据</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B.执行财务报表审阅业务时，注册会计师通常无须对内部控制进行测试</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C.注册会计师对审阅后的财务报表提供合理保证</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D.执行财务报表审阅业务时，注册会计师通常无须对应收款项实施函证</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【答案】ABD</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【解析】审阅业务属于有限保证业务，所以选项C说法错误；审阅业务一般无须实施在审计中经常实施的控制测试及函证、监盘等程序。</w:t>
      </w:r>
    </w:p>
    <w:p>
      <w:pPr>
        <w:pStyle w:val="14"/>
        <w:ind w:firstLine="0" w:firstLineChars="0"/>
        <w:rPr>
          <w:rFonts w:cs="宋体" w:asciiTheme="minorEastAsia" w:hAnsiTheme="minorEastAsia" w:eastAsiaTheme="minorEastAsia"/>
          <w:color w:val="auto"/>
          <w:szCs w:val="21"/>
        </w:rPr>
      </w:pPr>
      <w:r>
        <w:rPr>
          <w:rFonts w:hint="eastAsia" w:asciiTheme="minorEastAsia" w:hAnsiTheme="minorEastAsia" w:eastAsiaTheme="minorEastAsia"/>
          <w:color w:val="auto"/>
          <w:szCs w:val="21"/>
        </w:rPr>
        <w:t>2、下列属于财务报表审阅程序的有</w:t>
      </w:r>
      <w:r>
        <w:rPr>
          <w:rFonts w:hint="eastAsia" w:cs="宋体" w:asciiTheme="minorEastAsia" w:hAnsiTheme="minorEastAsia" w:eastAsiaTheme="minorEastAsia"/>
          <w:color w:val="auto"/>
          <w:szCs w:val="21"/>
        </w:rPr>
        <w:t>（    ）。</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A.询问被审阅单位采用的会计准则和相关会计制度、行业惯例</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B.询问被审阅单位对交易和事项的确认、计量、记录和报告的程序</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C.询问股东会、董事会以及其他类似机构决定采取的可能对财务报表产生影响的措施</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D.实施分析程序，以识别异常关系和异常项目</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【答案】ABCD</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【解析】四个选项都是审阅程序。</w:t>
      </w:r>
    </w:p>
    <w:bookmarkEnd w:id="15"/>
    <w:p>
      <w:pPr>
        <w:pStyle w:val="14"/>
        <w:ind w:firstLine="0" w:firstLineChars="0"/>
        <w:rPr>
          <w:rFonts w:cs="宋体" w:asciiTheme="minorEastAsia" w:hAnsiTheme="minorEastAsia" w:eastAsiaTheme="minorEastAsia"/>
          <w:color w:val="auto"/>
          <w:szCs w:val="21"/>
        </w:rPr>
      </w:pPr>
      <w:bookmarkStart w:id="16" w:name="_Hlk117346050"/>
      <w:r>
        <w:rPr>
          <w:rFonts w:hint="eastAsia" w:asciiTheme="minorEastAsia" w:hAnsiTheme="minorEastAsia" w:eastAsiaTheme="minorEastAsia"/>
          <w:color w:val="auto"/>
          <w:szCs w:val="21"/>
          <w:lang w:val="en-US" w:eastAsia="zh-CN"/>
        </w:rPr>
        <w:t>3</w:t>
      </w:r>
      <w:r>
        <w:rPr>
          <w:rFonts w:hint="eastAsia" w:asciiTheme="minorEastAsia" w:hAnsiTheme="minorEastAsia" w:eastAsiaTheme="minorEastAsia"/>
          <w:color w:val="auto"/>
          <w:szCs w:val="21"/>
        </w:rPr>
        <w:t>、</w:t>
      </w:r>
      <w:r>
        <w:rPr>
          <w:rFonts w:hint="eastAsia" w:cs="宋体" w:asciiTheme="minorEastAsia" w:hAnsiTheme="minorEastAsia" w:eastAsiaTheme="minorEastAsia"/>
          <w:color w:val="auto"/>
          <w:szCs w:val="21"/>
        </w:rPr>
        <w:t>下列关于内部控制审核的表述中，正确的有（    ）。</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A.内部控制审核是注册会计师执行的一项鉴证业务</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B.内部控制审核的目的就是实质性测试的性质、时间和范围</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C.内部控制审核的范围仅限于特定日期与会计报表相关的内部控制</w:t>
      </w:r>
    </w:p>
    <w:p>
      <w:pPr>
        <w:pStyle w:val="14"/>
        <w:rPr>
          <w:rFonts w:cs="宋体" w:asciiTheme="minorEastAsia" w:hAnsiTheme="minorEastAsia" w:eastAsiaTheme="minorEastAsia"/>
          <w:color w:val="auto"/>
          <w:szCs w:val="21"/>
        </w:rPr>
      </w:pPr>
      <w:r>
        <w:rPr>
          <w:rFonts w:hint="eastAsia" w:cs="宋体" w:asciiTheme="minorEastAsia" w:hAnsiTheme="minorEastAsia" w:eastAsiaTheme="minorEastAsia"/>
          <w:color w:val="auto"/>
          <w:szCs w:val="21"/>
        </w:rPr>
        <w:t>D.内部控制审核是对被审单位管理当局对内部控制有效性认定的再认定</w:t>
      </w:r>
    </w:p>
    <w:bookmarkEnd w:id="16"/>
    <w:p>
      <w:pPr>
        <w:pStyle w:val="14"/>
        <w:ind w:firstLine="0" w:firstLineChars="0"/>
        <w:rPr>
          <w:rFonts w:cs="宋体" w:asciiTheme="minorEastAsia" w:hAnsiTheme="minorEastAsia" w:eastAsiaTheme="minorEastAsia"/>
          <w:color w:val="auto"/>
          <w:szCs w:val="21"/>
        </w:rPr>
      </w:pPr>
      <w:r>
        <w:rPr>
          <w:rFonts w:hint="eastAsia" w:asciiTheme="minorEastAsia" w:hAnsiTheme="minorEastAsia" w:eastAsiaTheme="minorEastAsia"/>
          <w:color w:val="auto"/>
          <w:szCs w:val="21"/>
        </w:rPr>
        <w:t>【答案】</w:t>
      </w:r>
      <w:r>
        <w:rPr>
          <w:rFonts w:hint="eastAsia" w:cs="宋体" w:asciiTheme="minorEastAsia" w:hAnsiTheme="minorEastAsia" w:eastAsiaTheme="minorEastAsia"/>
          <w:color w:val="auto"/>
          <w:szCs w:val="21"/>
        </w:rPr>
        <w:t>ACD</w:t>
      </w:r>
    </w:p>
    <w:p>
      <w:pPr>
        <w:pStyle w:val="14"/>
        <w:ind w:firstLine="0" w:firstLineChars="0"/>
        <w:rPr>
          <w:rFonts w:cs="宋体" w:asciiTheme="minorEastAsia" w:hAnsiTheme="minorEastAsia" w:eastAsiaTheme="minorEastAsia"/>
          <w:color w:val="auto"/>
          <w:szCs w:val="21"/>
        </w:rPr>
      </w:pPr>
      <w:r>
        <w:rPr>
          <w:rFonts w:hint="eastAsia" w:asciiTheme="minorEastAsia" w:hAnsiTheme="minorEastAsia" w:eastAsiaTheme="minorEastAsia"/>
          <w:color w:val="auto"/>
          <w:szCs w:val="21"/>
        </w:rPr>
        <w:t>【解析】</w:t>
      </w:r>
      <w:r>
        <w:rPr>
          <w:rFonts w:hint="eastAsia" w:cs="宋体" w:asciiTheme="minorEastAsia" w:hAnsiTheme="minorEastAsia" w:eastAsiaTheme="minorEastAsia"/>
          <w:color w:val="auto"/>
          <w:szCs w:val="21"/>
        </w:rPr>
        <w:t>根据内部控制审核的定义，它是指注册会计师接受委托，就被审单位管理当局对特定</w:t>
      </w:r>
    </w:p>
    <w:p>
      <w:pPr>
        <w:pStyle w:val="14"/>
        <w:ind w:firstLine="0" w:firstLineChars="0"/>
        <w:rPr>
          <w:rFonts w:asciiTheme="minorEastAsia" w:hAnsiTheme="minorEastAsia" w:eastAsiaTheme="minorEastAsia"/>
          <w:color w:val="auto"/>
          <w:szCs w:val="21"/>
        </w:rPr>
      </w:pPr>
      <w:r>
        <w:rPr>
          <w:rFonts w:hint="eastAsia" w:cs="宋体" w:asciiTheme="minorEastAsia" w:hAnsiTheme="minorEastAsia" w:eastAsiaTheme="minorEastAsia"/>
          <w:color w:val="auto"/>
          <w:szCs w:val="21"/>
        </w:rPr>
        <w:t>日期与会计报表相关的内部控制有效性的认定进行审核、并发表审核意见，所以选ACD</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p>
    <w:p>
      <w:pPr>
        <w:pStyle w:val="14"/>
        <w:ind w:firstLine="0" w:firstLineChars="0"/>
        <w:rPr>
          <w:rFonts w:asciiTheme="minorEastAsia" w:hAnsiTheme="minorEastAsia" w:eastAsiaTheme="minorEastAsia"/>
          <w:color w:val="auto"/>
          <w:szCs w:val="21"/>
        </w:rPr>
      </w:pPr>
      <w:bookmarkStart w:id="17" w:name="_Hlk117346092"/>
      <w:r>
        <w:rPr>
          <w:rFonts w:hint="eastAsia" w:asciiTheme="minorEastAsia" w:hAnsiTheme="minorEastAsia" w:eastAsiaTheme="minorEastAsia"/>
          <w:color w:val="auto"/>
          <w:szCs w:val="21"/>
          <w:lang w:val="en-US" w:eastAsia="zh-CN"/>
        </w:rPr>
        <w:t>4</w:t>
      </w:r>
      <w:r>
        <w:rPr>
          <w:rFonts w:hint="eastAsia" w:asciiTheme="minorEastAsia" w:hAnsiTheme="minorEastAsia" w:eastAsiaTheme="minorEastAsia"/>
          <w:color w:val="auto"/>
          <w:szCs w:val="21"/>
        </w:rPr>
        <w:t>、注册会计师接受委托审核预测性财务信息，应当就</w:t>
      </w:r>
      <w:r>
        <w:rPr>
          <w:rFonts w:hint="eastAsia" w:cs="宋体" w:asciiTheme="minorEastAsia" w:hAnsiTheme="minorEastAsia" w:eastAsiaTheme="minorEastAsia"/>
          <w:color w:val="auto"/>
          <w:szCs w:val="21"/>
        </w:rPr>
        <w:t>（    ）</w:t>
      </w:r>
      <w:r>
        <w:rPr>
          <w:rFonts w:hint="eastAsia" w:asciiTheme="minorEastAsia" w:hAnsiTheme="minorEastAsia" w:eastAsiaTheme="minorEastAsia"/>
          <w:color w:val="auto"/>
          <w:szCs w:val="21"/>
        </w:rPr>
        <w:t>事项获取充分、适当的证据。=</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A.预测性财务信息能否实现或可实现的程度</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B.管理层编制预测性财务信息所依据的最佳估计假设的合理性</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C.预测性财务信息是否符合法律规定</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D.财务信息已经恰当列报及所有重大假设已充分披露</w:t>
      </w:r>
    </w:p>
    <w:bookmarkEnd w:id="17"/>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w:t>
      </w:r>
      <w:r>
        <w:rPr>
          <w:rFonts w:hint="eastAsia" w:asciiTheme="minorEastAsia" w:hAnsiTheme="minorEastAsia" w:eastAsiaTheme="minorEastAsia"/>
          <w:color w:val="auto"/>
          <w:szCs w:val="21"/>
          <w:lang w:val="en-US" w:eastAsia="zh-CN"/>
        </w:rPr>
        <w:t>答</w:t>
      </w:r>
      <w:r>
        <w:rPr>
          <w:rFonts w:hint="eastAsia" w:asciiTheme="minorEastAsia" w:hAnsiTheme="minorEastAsia" w:eastAsiaTheme="minorEastAsia"/>
          <w:color w:val="auto"/>
          <w:szCs w:val="21"/>
        </w:rPr>
        <w:t>案】BD</w:t>
      </w:r>
    </w:p>
    <w:p>
      <w:pPr>
        <w:pStyle w:val="14"/>
        <w:ind w:left="0" w:leftChars="0"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【解析】在执行预测性财务信息审核业务时，注册会计师应当就下列事项获取充分、适当的证据：（1）管理层编制预测性财务信息所依据的最佳估计假设并非不合理； 在依据推测性假设的情况下，推测性假设与信息的编制目的是相适应的。（2）预测性财务信息是在假设的基础上恰当编制的；（3）预测性财务信息已恰当列报， 所有重大假设已充分披露，包括说明采用的是推测性假设还是最佳估计假设；（4）预测性财务信息的编制基础与历史财务报表一致，并选用了恰当的会计政策。</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5</w:t>
      </w:r>
      <w:r>
        <w:rPr>
          <w:rFonts w:hint="eastAsia" w:asciiTheme="minorEastAsia" w:hAnsiTheme="minorEastAsia" w:eastAsiaTheme="minorEastAsia"/>
          <w:color w:val="auto"/>
          <w:szCs w:val="21"/>
        </w:rPr>
        <w:t>、</w:t>
      </w:r>
      <w:bookmarkStart w:id="18" w:name="_Hlk117346463"/>
      <w:r>
        <w:rPr>
          <w:rFonts w:hint="eastAsia" w:asciiTheme="minorEastAsia" w:hAnsiTheme="minorEastAsia" w:eastAsiaTheme="minorEastAsia"/>
          <w:color w:val="auto"/>
          <w:szCs w:val="21"/>
        </w:rPr>
        <w:t>在预测性财务信息审核业务中，注册会计师确定审核程序的性质、时间安排和范围时应考虑的因素有</w:t>
      </w:r>
      <w:r>
        <w:rPr>
          <w:rFonts w:hint="eastAsia" w:cs="宋体" w:asciiTheme="minorEastAsia" w:hAnsiTheme="minorEastAsia" w:eastAsiaTheme="minorEastAsia"/>
          <w:color w:val="auto"/>
          <w:szCs w:val="21"/>
        </w:rPr>
        <w:t>（    ）</w:t>
      </w:r>
      <w:r>
        <w:rPr>
          <w:rFonts w:hint="eastAsia" w:asciiTheme="minorEastAsia" w:hAnsiTheme="minorEastAsia" w:eastAsiaTheme="minorEastAsia"/>
          <w:color w:val="auto"/>
          <w:szCs w:val="21"/>
        </w:rPr>
        <w:t>。</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 xml:space="preserve">A.重大错报的可能性 </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B.以前期间执行业务所了解的情况</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C.管理层编制预测性财务信息的能力</w:t>
      </w:r>
    </w:p>
    <w:p>
      <w:pPr>
        <w:pStyle w:val="14"/>
        <w:rPr>
          <w:rFonts w:asciiTheme="minorEastAsia" w:hAnsiTheme="minorEastAsia" w:eastAsiaTheme="minorEastAsia"/>
          <w:color w:val="auto"/>
          <w:szCs w:val="21"/>
        </w:rPr>
      </w:pPr>
      <w:r>
        <w:rPr>
          <w:rFonts w:hint="eastAsia" w:asciiTheme="minorEastAsia" w:hAnsiTheme="minorEastAsia" w:eastAsiaTheme="minorEastAsia"/>
          <w:color w:val="auto"/>
          <w:szCs w:val="21"/>
        </w:rPr>
        <w:t>D.基础数据的恰当性和可靠性</w:t>
      </w:r>
    </w:p>
    <w:bookmarkEnd w:id="18"/>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【答案】ABCD</w:t>
      </w:r>
    </w:p>
    <w:p>
      <w:pPr>
        <w:pStyle w:val="14"/>
        <w:ind w:firstLine="0" w:firstLineChars="0"/>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【解析】四个选项都是正确的，除此之外，还要考虑预测性财务信息受管理层判断影响的程度。</w:t>
      </w:r>
    </w:p>
    <w:p>
      <w:pPr>
        <w:pStyle w:val="14"/>
        <w:ind w:firstLine="0" w:firstLineChars="0"/>
        <w:rPr>
          <w:rFonts w:asciiTheme="minorEastAsia" w:hAnsiTheme="minorEastAsia" w:eastAsiaTheme="minorEastAsia"/>
          <w:color w:val="auto"/>
          <w:szCs w:val="21"/>
        </w:rPr>
      </w:pPr>
    </w:p>
    <w:p>
      <w:pPr>
        <w:pStyle w:val="14"/>
        <w:ind w:firstLine="0" w:firstLineChars="0"/>
        <w:rPr>
          <w:rFonts w:cs="宋体" w:asciiTheme="minorEastAsia" w:hAnsiTheme="minorEastAsia" w:eastAsiaTheme="minorEastAsia"/>
          <w:b/>
          <w:bCs/>
          <w:color w:val="auto"/>
          <w:szCs w:val="21"/>
        </w:rPr>
      </w:pPr>
      <w:r>
        <w:rPr>
          <w:rFonts w:hint="eastAsia" w:cs="宋体" w:asciiTheme="minorEastAsia" w:hAnsiTheme="minorEastAsia" w:eastAsiaTheme="minorEastAsia"/>
          <w:b/>
          <w:bCs/>
          <w:color w:val="auto"/>
          <w:szCs w:val="21"/>
        </w:rPr>
        <w:t>三、判断题</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w:t>
      </w:r>
      <w:bookmarkStart w:id="19" w:name="_Hlk117346872"/>
      <w:r>
        <w:rPr>
          <w:rFonts w:hint="eastAsia" w:asciiTheme="minorEastAsia" w:hAnsiTheme="minorEastAsia" w:eastAsiaTheme="minorEastAsia"/>
          <w:color w:val="auto"/>
          <w:szCs w:val="21"/>
        </w:rPr>
        <w:t>财务报表审阅业务属于历史性财务信息鉴证业务，注册会计师既无须对鉴证结论提供合理保证，也无须以积极的方式发表鉴证结论。为了形成鉴证结论，注册会计师既不需要对应收账款实施函证，不需要对存货实施监盘。</w:t>
      </w:r>
      <w:bookmarkEnd w:id="19"/>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【答案】正确</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【解析】审阅业务的基本特征。</w:t>
      </w:r>
    </w:p>
    <w:p>
      <w:pPr>
        <w:widowControl/>
        <w:jc w:val="left"/>
        <w:rPr>
          <w:rFonts w:asciiTheme="minorEastAsia" w:hAnsiTheme="minorEastAsia" w:eastAsiaTheme="minorEastAsia"/>
          <w:color w:val="auto"/>
          <w:szCs w:val="21"/>
        </w:rPr>
      </w:pPr>
      <w:r>
        <w:rPr>
          <w:rFonts w:asciiTheme="minorEastAsia" w:hAnsiTheme="minorEastAsia" w:eastAsiaTheme="minorEastAsia"/>
          <w:color w:val="auto"/>
          <w:szCs w:val="21"/>
        </w:rPr>
        <w:t>2</w:t>
      </w:r>
      <w:r>
        <w:rPr>
          <w:rFonts w:hint="eastAsia" w:asciiTheme="minorEastAsia" w:hAnsiTheme="minorEastAsia" w:eastAsiaTheme="minorEastAsia"/>
          <w:color w:val="auto"/>
          <w:szCs w:val="21"/>
        </w:rPr>
        <w:t>、</w:t>
      </w:r>
      <w:bookmarkStart w:id="20" w:name="_Hlk117346612"/>
      <w:r>
        <w:rPr>
          <w:rFonts w:hint="eastAsia" w:asciiTheme="minorEastAsia" w:hAnsiTheme="minorEastAsia" w:eastAsiaTheme="minorEastAsia"/>
          <w:color w:val="auto"/>
          <w:szCs w:val="21"/>
        </w:rPr>
        <w:t>在执行财务报表审阅业务时，虽然注册会计师无须对存货实施监盘和计价程序，但应对被审阅单位与存货相关的内部控制进行与有限保证程度相适应的控制测试。</w:t>
      </w:r>
      <w:bookmarkEnd w:id="20"/>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【解析】财务报表审阅业务不要求注册会计师测试内部控制。</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3</w:t>
      </w:r>
      <w:r>
        <w:rPr>
          <w:rFonts w:hint="eastAsia" w:asciiTheme="minorEastAsia" w:hAnsiTheme="minorEastAsia" w:eastAsiaTheme="minorEastAsia"/>
          <w:color w:val="auto"/>
          <w:szCs w:val="21"/>
        </w:rPr>
        <w:t>、</w:t>
      </w:r>
      <w:bookmarkStart w:id="21" w:name="_Hlk117346538"/>
      <w:r>
        <w:rPr>
          <w:rFonts w:hint="eastAsia" w:asciiTheme="minorEastAsia" w:hAnsiTheme="minorEastAsia" w:eastAsiaTheme="minorEastAsia"/>
          <w:color w:val="auto"/>
          <w:szCs w:val="21"/>
        </w:rPr>
        <w:t>如果有理由相信所审阅的财务报表可能存在重大错报，注册会计师应当实施追加的或更为广泛的程序，以便能够提出结论或确定是否出具非无保留结论的报告。</w:t>
      </w:r>
      <w:bookmarkEnd w:id="21"/>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【答案】正确</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【解析】如果有理由相信所审阅的财务报表可能存在重大错报，注册会计师应当实施追加的</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或更为广泛的程序，以便能够以消极方式提出结论或确定是否出具非无保留结论的报告。</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4</w:t>
      </w:r>
      <w:r>
        <w:rPr>
          <w:rFonts w:hint="eastAsia" w:asciiTheme="minorEastAsia" w:hAnsiTheme="minorEastAsia" w:eastAsiaTheme="minorEastAsia"/>
          <w:color w:val="auto"/>
          <w:szCs w:val="21"/>
        </w:rPr>
        <w:t>、</w:t>
      </w:r>
      <w:bookmarkStart w:id="22" w:name="_Hlk117346915"/>
      <w:r>
        <w:rPr>
          <w:rFonts w:hint="eastAsia" w:asciiTheme="minorEastAsia" w:hAnsiTheme="minorEastAsia" w:eastAsiaTheme="minorEastAsia"/>
          <w:color w:val="auto"/>
          <w:szCs w:val="21"/>
        </w:rPr>
        <w:t>在预测性财务信息审核业务中，注册会计师在对信息所依据的假设是否合理提供有限保证的</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同时，需要对信息是否在假设的基础_上恰当编制等提供合理保证。因此预测性财务信息审核报告是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两种保证共存的鉴证报告。</w:t>
      </w:r>
      <w:bookmarkEnd w:id="22"/>
      <w:r>
        <w:rPr>
          <w:rFonts w:hint="eastAsia" w:asciiTheme="minorEastAsia" w:hAnsiTheme="minorEastAsia" w:eastAsiaTheme="minorEastAsia"/>
          <w:color w:val="auto"/>
          <w:szCs w:val="21"/>
        </w:rPr>
        <w:t>( )</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【答案】对</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【解析】预测性财务信息审核业务属于鉴证业务。两种保证程度共存是预测性财务信息审核</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报告的特色。</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5</w:t>
      </w:r>
      <w:r>
        <w:rPr>
          <w:rFonts w:hint="eastAsia" w:asciiTheme="minorEastAsia" w:hAnsiTheme="minorEastAsia" w:eastAsiaTheme="minorEastAsia"/>
          <w:color w:val="auto"/>
          <w:szCs w:val="21"/>
        </w:rPr>
        <w:t>、注</w:t>
      </w:r>
      <w:bookmarkStart w:id="23" w:name="_Hlk117346971"/>
      <w:r>
        <w:rPr>
          <w:rFonts w:hint="eastAsia" w:asciiTheme="minorEastAsia" w:hAnsiTheme="minorEastAsia" w:eastAsiaTheme="minorEastAsia"/>
          <w:color w:val="auto"/>
          <w:szCs w:val="21"/>
        </w:rPr>
        <w:t>册会计师执行商定程序的对象是特定主体指定的财务信息，包括特定财务数据，单一财务报表，但不能是整套财务报表。</w:t>
      </w:r>
      <w:bookmarkEnd w:id="23"/>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【解析】相关服务准则只要求执行商定程序的对象是财务信息，并未对财务信息是否为</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整套报表提出限制。</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6</w:t>
      </w:r>
      <w:r>
        <w:rPr>
          <w:rFonts w:hint="eastAsia" w:asciiTheme="minorEastAsia" w:hAnsiTheme="minorEastAsia" w:eastAsiaTheme="minorEastAsia"/>
          <w:color w:val="auto"/>
          <w:szCs w:val="21"/>
        </w:rPr>
        <w:t>、</w:t>
      </w:r>
      <w:bookmarkStart w:id="24" w:name="_Hlk117347031"/>
      <w:r>
        <w:rPr>
          <w:rFonts w:hint="eastAsia" w:asciiTheme="minorEastAsia" w:hAnsiTheme="minorEastAsia" w:eastAsiaTheme="minorEastAsia"/>
          <w:color w:val="auto"/>
          <w:szCs w:val="21"/>
        </w:rPr>
        <w:t>注册会计师对财务报表执行商定程序时，应当遵循中国注册会计师职业道德规范,恪守独立、</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客观、公正的原则，并具备相应的专业胜任能力。</w:t>
      </w:r>
      <w:bookmarkEnd w:id="24"/>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【解析】通常不对商定程序业务提出独立性要求。</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7</w:t>
      </w:r>
      <w:r>
        <w:rPr>
          <w:rFonts w:hint="eastAsia" w:asciiTheme="minorEastAsia" w:hAnsiTheme="minorEastAsia" w:eastAsiaTheme="minorEastAsia"/>
          <w:color w:val="auto"/>
          <w:szCs w:val="21"/>
        </w:rPr>
        <w:t>、</w:t>
      </w:r>
      <w:bookmarkStart w:id="25" w:name="_Hlk117347049"/>
      <w:r>
        <w:rPr>
          <w:rFonts w:hint="eastAsia" w:asciiTheme="minorEastAsia" w:hAnsiTheme="minorEastAsia" w:eastAsiaTheme="minorEastAsia"/>
          <w:color w:val="auto"/>
          <w:szCs w:val="21"/>
        </w:rPr>
        <w:t>在对财务报表执行商定程序前，注册会计师应当了解特定主体的内部控制，并根据重大错报</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风险的评估结果确定执行商定程序的范围。</w:t>
      </w:r>
      <w:bookmarkEnd w:id="25"/>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【解析】执行商定程序一般不涉及内部控制的了解和评价。</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lang w:val="en-US" w:eastAsia="zh-CN"/>
        </w:rPr>
        <w:t>8</w:t>
      </w:r>
      <w:r>
        <w:rPr>
          <w:rFonts w:hint="eastAsia" w:asciiTheme="minorEastAsia" w:hAnsiTheme="minorEastAsia" w:eastAsiaTheme="minorEastAsia"/>
          <w:color w:val="auto"/>
          <w:szCs w:val="21"/>
        </w:rPr>
        <w:t>、</w:t>
      </w:r>
      <w:bookmarkStart w:id="26" w:name="_Hlk117347079"/>
      <w:r>
        <w:rPr>
          <w:rFonts w:hint="eastAsia" w:asciiTheme="minorEastAsia" w:hAnsiTheme="minorEastAsia" w:eastAsiaTheme="minorEastAsia"/>
          <w:color w:val="auto"/>
          <w:szCs w:val="21"/>
        </w:rPr>
        <w:t>如果注册会计师的姓名与代编的财务信息相联系，注册会计师则不能出具代编业务报告。</w:t>
      </w:r>
      <w:bookmarkEnd w:id="26"/>
      <w:r>
        <w:rPr>
          <w:rFonts w:hint="eastAsia" w:asciiTheme="minorEastAsia" w:hAnsiTheme="minorEastAsia" w:eastAsiaTheme="minorEastAsia"/>
          <w:color w:val="auto"/>
          <w:szCs w:val="21"/>
        </w:rPr>
        <w:t xml:space="preserve">（ </w:t>
      </w:r>
      <w:r>
        <w:rPr>
          <w:rFonts w:asciiTheme="minorEastAsia" w:hAnsiTheme="minorEastAsia" w:eastAsiaTheme="minorEastAsia"/>
          <w:color w:val="auto"/>
          <w:szCs w:val="21"/>
        </w:rPr>
        <w:t xml:space="preserve">  </w:t>
      </w:r>
      <w:r>
        <w:rPr>
          <w:rFonts w:hint="eastAsia" w:asciiTheme="minorEastAsia" w:hAnsiTheme="minorEastAsia" w:eastAsiaTheme="minorEastAsia"/>
          <w:color w:val="auto"/>
          <w:szCs w:val="21"/>
        </w:rPr>
        <w:t>）</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【答案】错误</w:t>
      </w:r>
    </w:p>
    <w:p>
      <w:pPr>
        <w:widowControl/>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【解析】代编业务报告有助于说明注册会计师在代编业务中所扮演的角色，避免责任纠纷，在任何情况下，只要注册会计师的姓名与代编的财务信息相联系就应当出具代编业务报告。</w:t>
      </w:r>
    </w:p>
    <w:p>
      <w:pPr>
        <w:widowControl/>
        <w:rPr>
          <w:rFonts w:asciiTheme="minorEastAsia" w:hAnsiTheme="minorEastAsia" w:eastAsiaTheme="minorEastAsia"/>
          <w:color w:val="auto"/>
          <w:szCs w:val="21"/>
        </w:rPr>
      </w:pPr>
    </w:p>
    <w:p>
      <w:pPr>
        <w:pStyle w:val="14"/>
        <w:ind w:firstLine="0" w:firstLineChars="0"/>
        <w:rPr>
          <w:rFonts w:hint="default" w:cs="宋体" w:asciiTheme="minorEastAsia" w:hAnsiTheme="minorEastAsia" w:eastAsiaTheme="minorEastAsia"/>
          <w:b/>
          <w:bCs/>
          <w:color w:val="auto"/>
          <w:szCs w:val="21"/>
          <w:lang w:val="en-US" w:eastAsia="zh-CN"/>
        </w:rPr>
      </w:pPr>
      <w:r>
        <w:rPr>
          <w:rFonts w:hint="eastAsia" w:cs="宋体" w:asciiTheme="minorEastAsia" w:hAnsiTheme="minorEastAsia" w:eastAsiaTheme="minorEastAsia"/>
          <w:b/>
          <w:bCs/>
          <w:color w:val="auto"/>
          <w:szCs w:val="21"/>
          <w:lang w:val="en-US" w:eastAsia="zh-CN"/>
        </w:rPr>
        <w:t>四</w:t>
      </w:r>
      <w:r>
        <w:rPr>
          <w:rFonts w:hint="eastAsia" w:cs="宋体" w:asciiTheme="minorEastAsia" w:hAnsiTheme="minorEastAsia" w:eastAsiaTheme="minorEastAsia"/>
          <w:b/>
          <w:bCs/>
          <w:color w:val="auto"/>
          <w:szCs w:val="21"/>
        </w:rPr>
        <w:t>、</w:t>
      </w:r>
      <w:r>
        <w:rPr>
          <w:rFonts w:hint="eastAsia" w:cs="宋体" w:asciiTheme="minorEastAsia" w:hAnsiTheme="minorEastAsia" w:eastAsiaTheme="minorEastAsia"/>
          <w:b/>
          <w:bCs/>
          <w:color w:val="auto"/>
          <w:szCs w:val="21"/>
          <w:lang w:val="en-US" w:eastAsia="zh-CN"/>
        </w:rPr>
        <w:t>案例分析题</w:t>
      </w:r>
    </w:p>
    <w:p>
      <w:pPr>
        <w:widowControl/>
        <w:ind w:firstLine="420" w:firstLineChars="200"/>
        <w:jc w:val="left"/>
        <w:rPr>
          <w:rFonts w:asciiTheme="minorEastAsia" w:hAnsiTheme="minorEastAsia" w:eastAsiaTheme="minorEastAsia"/>
          <w:color w:val="auto"/>
          <w:szCs w:val="21"/>
        </w:rPr>
      </w:pPr>
      <w:bookmarkStart w:id="27" w:name="_Hlk117347156"/>
      <w:r>
        <w:rPr>
          <w:rFonts w:hint="eastAsia" w:asciiTheme="minorEastAsia" w:hAnsiTheme="minorEastAsia" w:eastAsiaTheme="minorEastAsia"/>
          <w:color w:val="auto"/>
          <w:szCs w:val="21"/>
        </w:rPr>
        <w:t>1、甲公司是ABC会计师事务所的常年审计客户，A注册会计师作为项目合伙人负责.对甲公司2021年度财务报表和内部控制进行整合审计，在审计工作过程中，需要考虑的与内部控制审计相关事项如下:</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（1）在确定与内部控制重大缺陷相关的重要性时，考虑到内部控制审计是对内部控制有效性发表意见，因此，A注册会计师以财务报表审计中财务报表整体重要性的75%作为内部控制审计的重要性。</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（2）在针对了解被审计单位内部控制潜在错报来源执行程序时，由于A注册会计师工作繁忙，指定由经验丰富的外勤负责人执行，但A注册会计师对该负责人的工作进行了相应的监督。</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（3）项目组在期中测试了甲公司重要的信息技术一般控制有效且关键控制未发生变化，A注册会计师认为无须对其实施前推测试，即可得出该控制在整个期间有效的结论。</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（4）A注册会计师发现内部控制M存在设计缺陷，造成了100万元的漏记，内部控制N虽然也存在设计缺陷，但是并未造成错报发生，因此评价内部控制M比内部控制N存在的缺陷更为严重。</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要求：针对上述第（1）至（4）项，逐项指出A注册会计师的做法是否恰当。如不恰当，简要说明理由。</w:t>
      </w:r>
    </w:p>
    <w:bookmarkEnd w:id="27"/>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【答案】（1）不恰当。企业内部控制审计确定的重要性应与财务报表审计的重要性相同。</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（2）恰当。</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（3）不恰当。注册会计师在期中对重要的信息技术- -般控制实施了测试，则通常还需要对其实施前推程序。</w:t>
      </w:r>
    </w:p>
    <w:p>
      <w:pPr>
        <w:widowControl/>
        <w:ind w:firstLine="420" w:firstLineChars="200"/>
        <w:jc w:val="left"/>
        <w:rPr>
          <w:rFonts w:asciiTheme="minorEastAsia" w:hAnsiTheme="minorEastAsia" w:eastAsiaTheme="minorEastAsia"/>
          <w:color w:val="auto"/>
          <w:szCs w:val="21"/>
        </w:rPr>
      </w:pPr>
      <w:r>
        <w:rPr>
          <w:rFonts w:hint="eastAsia" w:asciiTheme="minorEastAsia" w:hAnsiTheme="minorEastAsia" w:eastAsiaTheme="minorEastAsia"/>
          <w:color w:val="auto"/>
          <w:szCs w:val="21"/>
        </w:rPr>
        <w:t>（4）不恰当。控制缺陷的严重程度与错报是否发生无关，而取决于控制不能防止或发现并纠正错报的可能性的大小。</w:t>
      </w:r>
    </w:p>
    <w:p>
      <w:pPr>
        <w:widowControl/>
        <w:ind w:firstLine="420" w:firstLineChars="200"/>
        <w:jc w:val="left"/>
        <w:rPr>
          <w:rFonts w:asciiTheme="minorEastAsia" w:hAnsiTheme="minorEastAsia" w:eastAsiaTheme="minorEastAsia"/>
          <w:color w:val="auto"/>
          <w:szCs w:val="21"/>
        </w:rPr>
      </w:pPr>
    </w:p>
    <w:sectPr>
      <w:headerReference r:id="rId3" w:type="default"/>
      <w:footerReference r:id="rId4" w:type="default"/>
      <w:type w:val="continuous"/>
      <w:pgSz w:w="11906" w:h="16838"/>
      <w:pgMar w:top="1418" w:right="1134" w:bottom="1134" w:left="1418"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 PAGE   \* MERGEFORMAT </w:instrText>
    </w:r>
    <w:r>
      <w:fldChar w:fldCharType="separate"/>
    </w:r>
    <w:r>
      <w:rPr>
        <w:lang w:val="zh-CN"/>
      </w:rPr>
      <w:t>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Fonts w:hint="eastAsia"/>
      </w:rPr>
      <w:t>审计学                                                            第十六章  其他鉴证业务与相关服务业务</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YyZDFlZTlkMmJiYzc4ZjcxNjA2MDI3ZjU4NGZhYmYifQ=="/>
  </w:docVars>
  <w:rsids>
    <w:rsidRoot w:val="00172A27"/>
    <w:rsid w:val="0003587A"/>
    <w:rsid w:val="00040716"/>
    <w:rsid w:val="00043585"/>
    <w:rsid w:val="0007319F"/>
    <w:rsid w:val="00085406"/>
    <w:rsid w:val="000D5789"/>
    <w:rsid w:val="000E1798"/>
    <w:rsid w:val="000F5B51"/>
    <w:rsid w:val="0010697C"/>
    <w:rsid w:val="00111243"/>
    <w:rsid w:val="00114047"/>
    <w:rsid w:val="0013612D"/>
    <w:rsid w:val="00141FEE"/>
    <w:rsid w:val="001461C5"/>
    <w:rsid w:val="00147219"/>
    <w:rsid w:val="00153648"/>
    <w:rsid w:val="00172A27"/>
    <w:rsid w:val="00184EDC"/>
    <w:rsid w:val="00194936"/>
    <w:rsid w:val="00197881"/>
    <w:rsid w:val="001A11B2"/>
    <w:rsid w:val="001A1EEA"/>
    <w:rsid w:val="001A402B"/>
    <w:rsid w:val="001B0103"/>
    <w:rsid w:val="001D3C74"/>
    <w:rsid w:val="001D5462"/>
    <w:rsid w:val="001E4530"/>
    <w:rsid w:val="001F3372"/>
    <w:rsid w:val="00203C73"/>
    <w:rsid w:val="0023384A"/>
    <w:rsid w:val="0023481E"/>
    <w:rsid w:val="00254FD2"/>
    <w:rsid w:val="00270EB1"/>
    <w:rsid w:val="00281861"/>
    <w:rsid w:val="00281E14"/>
    <w:rsid w:val="002856DF"/>
    <w:rsid w:val="0028582B"/>
    <w:rsid w:val="00285B9B"/>
    <w:rsid w:val="0029465D"/>
    <w:rsid w:val="002A5444"/>
    <w:rsid w:val="002A679A"/>
    <w:rsid w:val="002A6C51"/>
    <w:rsid w:val="002D1D62"/>
    <w:rsid w:val="002E37C5"/>
    <w:rsid w:val="003104A1"/>
    <w:rsid w:val="003310E8"/>
    <w:rsid w:val="0035046B"/>
    <w:rsid w:val="00350FF4"/>
    <w:rsid w:val="003935F0"/>
    <w:rsid w:val="003A66C5"/>
    <w:rsid w:val="003D11AC"/>
    <w:rsid w:val="003E48BB"/>
    <w:rsid w:val="003E5627"/>
    <w:rsid w:val="0040777D"/>
    <w:rsid w:val="00451C35"/>
    <w:rsid w:val="0045399C"/>
    <w:rsid w:val="00460285"/>
    <w:rsid w:val="00463EA9"/>
    <w:rsid w:val="00475E4B"/>
    <w:rsid w:val="0048057F"/>
    <w:rsid w:val="00481215"/>
    <w:rsid w:val="004A0021"/>
    <w:rsid w:val="004A03BC"/>
    <w:rsid w:val="004A76F1"/>
    <w:rsid w:val="004B4F40"/>
    <w:rsid w:val="004D0FD7"/>
    <w:rsid w:val="004F3824"/>
    <w:rsid w:val="004F5F3A"/>
    <w:rsid w:val="00534103"/>
    <w:rsid w:val="0053467B"/>
    <w:rsid w:val="00537DFB"/>
    <w:rsid w:val="00554F7C"/>
    <w:rsid w:val="00560B16"/>
    <w:rsid w:val="00567D99"/>
    <w:rsid w:val="0057172F"/>
    <w:rsid w:val="00575452"/>
    <w:rsid w:val="0058101F"/>
    <w:rsid w:val="005826CD"/>
    <w:rsid w:val="00585086"/>
    <w:rsid w:val="00592FD1"/>
    <w:rsid w:val="005A0483"/>
    <w:rsid w:val="005A6BB0"/>
    <w:rsid w:val="005A7369"/>
    <w:rsid w:val="005E2AC6"/>
    <w:rsid w:val="005E2BD2"/>
    <w:rsid w:val="005F1ACE"/>
    <w:rsid w:val="005F4B80"/>
    <w:rsid w:val="00600EA4"/>
    <w:rsid w:val="006111B8"/>
    <w:rsid w:val="00614F64"/>
    <w:rsid w:val="00620381"/>
    <w:rsid w:val="0063749E"/>
    <w:rsid w:val="0065250F"/>
    <w:rsid w:val="00677B31"/>
    <w:rsid w:val="00681B82"/>
    <w:rsid w:val="00684441"/>
    <w:rsid w:val="006847C3"/>
    <w:rsid w:val="0069611E"/>
    <w:rsid w:val="006A1D40"/>
    <w:rsid w:val="006A3284"/>
    <w:rsid w:val="006C00CB"/>
    <w:rsid w:val="006C4EBF"/>
    <w:rsid w:val="006C6859"/>
    <w:rsid w:val="006D4B55"/>
    <w:rsid w:val="006F480E"/>
    <w:rsid w:val="00703B38"/>
    <w:rsid w:val="00710773"/>
    <w:rsid w:val="00763AC0"/>
    <w:rsid w:val="007645E0"/>
    <w:rsid w:val="00783621"/>
    <w:rsid w:val="00783905"/>
    <w:rsid w:val="00783F3B"/>
    <w:rsid w:val="0079506A"/>
    <w:rsid w:val="00795DD6"/>
    <w:rsid w:val="007A661A"/>
    <w:rsid w:val="007B7142"/>
    <w:rsid w:val="007C379F"/>
    <w:rsid w:val="007C7B62"/>
    <w:rsid w:val="007D0F2D"/>
    <w:rsid w:val="008209AC"/>
    <w:rsid w:val="008319A2"/>
    <w:rsid w:val="00837674"/>
    <w:rsid w:val="00852BDB"/>
    <w:rsid w:val="00855793"/>
    <w:rsid w:val="00855C56"/>
    <w:rsid w:val="0087633A"/>
    <w:rsid w:val="00881F96"/>
    <w:rsid w:val="00884015"/>
    <w:rsid w:val="008A1FB8"/>
    <w:rsid w:val="008B08F8"/>
    <w:rsid w:val="008B47B3"/>
    <w:rsid w:val="008B5838"/>
    <w:rsid w:val="008B7FE9"/>
    <w:rsid w:val="008D012E"/>
    <w:rsid w:val="00900963"/>
    <w:rsid w:val="00907508"/>
    <w:rsid w:val="00923AC6"/>
    <w:rsid w:val="00951693"/>
    <w:rsid w:val="0097205E"/>
    <w:rsid w:val="009747C8"/>
    <w:rsid w:val="00994DE9"/>
    <w:rsid w:val="009A6C0E"/>
    <w:rsid w:val="009D7262"/>
    <w:rsid w:val="009E6D1E"/>
    <w:rsid w:val="00A033D7"/>
    <w:rsid w:val="00A215B3"/>
    <w:rsid w:val="00A42C46"/>
    <w:rsid w:val="00A43344"/>
    <w:rsid w:val="00A5088D"/>
    <w:rsid w:val="00A7224E"/>
    <w:rsid w:val="00A8389A"/>
    <w:rsid w:val="00AA1C5F"/>
    <w:rsid w:val="00AA68AC"/>
    <w:rsid w:val="00AD0A2B"/>
    <w:rsid w:val="00AD7D60"/>
    <w:rsid w:val="00AE18E4"/>
    <w:rsid w:val="00B25DEF"/>
    <w:rsid w:val="00B26BD0"/>
    <w:rsid w:val="00B61C46"/>
    <w:rsid w:val="00B757A8"/>
    <w:rsid w:val="00B77047"/>
    <w:rsid w:val="00B8376E"/>
    <w:rsid w:val="00B875FD"/>
    <w:rsid w:val="00B94AF5"/>
    <w:rsid w:val="00B97974"/>
    <w:rsid w:val="00BA5484"/>
    <w:rsid w:val="00BB2804"/>
    <w:rsid w:val="00BB5432"/>
    <w:rsid w:val="00BE08C6"/>
    <w:rsid w:val="00BE2BE5"/>
    <w:rsid w:val="00BF09FE"/>
    <w:rsid w:val="00BF7ACC"/>
    <w:rsid w:val="00C316BE"/>
    <w:rsid w:val="00C512A2"/>
    <w:rsid w:val="00C52484"/>
    <w:rsid w:val="00C53EF2"/>
    <w:rsid w:val="00C556BD"/>
    <w:rsid w:val="00C61E53"/>
    <w:rsid w:val="00C70064"/>
    <w:rsid w:val="00C95FB3"/>
    <w:rsid w:val="00C968C9"/>
    <w:rsid w:val="00CB2FA4"/>
    <w:rsid w:val="00CB643F"/>
    <w:rsid w:val="00CC13AE"/>
    <w:rsid w:val="00CC70B4"/>
    <w:rsid w:val="00CD1965"/>
    <w:rsid w:val="00CE4AEB"/>
    <w:rsid w:val="00CE644D"/>
    <w:rsid w:val="00D01AAB"/>
    <w:rsid w:val="00D0744E"/>
    <w:rsid w:val="00D246FF"/>
    <w:rsid w:val="00D50514"/>
    <w:rsid w:val="00D7414B"/>
    <w:rsid w:val="00D74D59"/>
    <w:rsid w:val="00DA41E3"/>
    <w:rsid w:val="00DB4FEE"/>
    <w:rsid w:val="00DB71DB"/>
    <w:rsid w:val="00DD27EB"/>
    <w:rsid w:val="00DD3027"/>
    <w:rsid w:val="00DE1708"/>
    <w:rsid w:val="00DF2C56"/>
    <w:rsid w:val="00E06E33"/>
    <w:rsid w:val="00E20EF3"/>
    <w:rsid w:val="00E216F1"/>
    <w:rsid w:val="00E264B6"/>
    <w:rsid w:val="00E315EC"/>
    <w:rsid w:val="00E32DDE"/>
    <w:rsid w:val="00E37683"/>
    <w:rsid w:val="00E4494A"/>
    <w:rsid w:val="00E45676"/>
    <w:rsid w:val="00E50B33"/>
    <w:rsid w:val="00E61DDA"/>
    <w:rsid w:val="00E62590"/>
    <w:rsid w:val="00E66DB4"/>
    <w:rsid w:val="00E6797B"/>
    <w:rsid w:val="00E70CB2"/>
    <w:rsid w:val="00E766C5"/>
    <w:rsid w:val="00E76D4C"/>
    <w:rsid w:val="00E83D76"/>
    <w:rsid w:val="00EA05EA"/>
    <w:rsid w:val="00EC1F59"/>
    <w:rsid w:val="00EC7DF7"/>
    <w:rsid w:val="00EE1BCE"/>
    <w:rsid w:val="00EE3685"/>
    <w:rsid w:val="00F01B44"/>
    <w:rsid w:val="00F059F5"/>
    <w:rsid w:val="00F113EE"/>
    <w:rsid w:val="00F20A2F"/>
    <w:rsid w:val="00F24CA5"/>
    <w:rsid w:val="00F31C4F"/>
    <w:rsid w:val="00F50940"/>
    <w:rsid w:val="00F53B9E"/>
    <w:rsid w:val="00F555F4"/>
    <w:rsid w:val="00F7410F"/>
    <w:rsid w:val="00F96F3F"/>
    <w:rsid w:val="00F97B8C"/>
    <w:rsid w:val="00FA4F23"/>
    <w:rsid w:val="00FB7E32"/>
    <w:rsid w:val="00FE0B3C"/>
    <w:rsid w:val="00FF34E1"/>
    <w:rsid w:val="00FF63F7"/>
    <w:rsid w:val="00FF7539"/>
    <w:rsid w:val="1C531484"/>
    <w:rsid w:val="391917C8"/>
    <w:rsid w:val="494A2BAC"/>
    <w:rsid w:val="4BB861A9"/>
    <w:rsid w:val="52134D69"/>
    <w:rsid w:val="758761C1"/>
    <w:rsid w:val="7BEF2342"/>
    <w:rsid w:val="7F957EA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link w:val="15"/>
    <w:autoRedefine/>
    <w:qFormat/>
    <w:uiPriority w:val="0"/>
    <w:pPr>
      <w:keepNext/>
      <w:keepLines/>
      <w:pBdr>
        <w:bottom w:val="single" w:color="DBE5F1" w:sz="8" w:space="0"/>
      </w:pBdr>
      <w:spacing w:after="200" w:line="300" w:lineRule="auto"/>
      <w:outlineLvl w:val="0"/>
    </w:pPr>
    <w:rPr>
      <w:rFonts w:ascii="Cambria" w:hAnsi="Cambria" w:eastAsia="Microsoft YaHei UI" w:cs="Times New Roman"/>
      <w:color w:val="4F81BD"/>
      <w:sz w:val="36"/>
      <w:szCs w:val="36"/>
      <w:lang w:val="en-US" w:eastAsia="ja-JP" w:bidi="ar-SA"/>
    </w:rPr>
  </w:style>
  <w:style w:type="paragraph" w:styleId="3">
    <w:name w:val="heading 2"/>
    <w:next w:val="1"/>
    <w:link w:val="16"/>
    <w:autoRedefine/>
    <w:qFormat/>
    <w:uiPriority w:val="0"/>
    <w:pPr>
      <w:keepNext/>
      <w:keepLines/>
      <w:spacing w:before="120" w:after="120"/>
      <w:outlineLvl w:val="1"/>
    </w:pPr>
    <w:rPr>
      <w:rFonts w:ascii="Calibri" w:hAnsi="Calibri" w:eastAsia="Microsoft YaHei UI" w:cs="Times New Roman"/>
      <w:b/>
      <w:bCs/>
      <w:color w:val="1F497D"/>
      <w:sz w:val="26"/>
      <w:szCs w:val="26"/>
      <w:lang w:val="en-US" w:eastAsia="ja-JP"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annotation text"/>
    <w:basedOn w:val="1"/>
    <w:link w:val="17"/>
    <w:autoRedefine/>
    <w:qFormat/>
    <w:uiPriority w:val="0"/>
    <w:pPr>
      <w:jc w:val="left"/>
    </w:pPr>
  </w:style>
  <w:style w:type="paragraph" w:styleId="5">
    <w:name w:val="Balloon Text"/>
    <w:basedOn w:val="1"/>
    <w:link w:val="19"/>
    <w:autoRedefine/>
    <w:qFormat/>
    <w:uiPriority w:val="0"/>
    <w:rPr>
      <w:sz w:val="18"/>
      <w:szCs w:val="18"/>
    </w:rPr>
  </w:style>
  <w:style w:type="paragraph" w:styleId="6">
    <w:name w:val="footer"/>
    <w:basedOn w:val="1"/>
    <w:link w:val="20"/>
    <w:autoRedefine/>
    <w:qFormat/>
    <w:uiPriority w:val="99"/>
    <w:pPr>
      <w:tabs>
        <w:tab w:val="center" w:pos="4153"/>
        <w:tab w:val="right" w:pos="8306"/>
      </w:tabs>
      <w:snapToGrid w:val="0"/>
      <w:jc w:val="left"/>
    </w:pPr>
    <w:rPr>
      <w:sz w:val="18"/>
      <w:szCs w:val="18"/>
    </w:rPr>
  </w:style>
  <w:style w:type="paragraph" w:styleId="7">
    <w:name w:val="header"/>
    <w:basedOn w:val="1"/>
    <w:link w:val="21"/>
    <w:autoRedefine/>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semiHidden/>
    <w:unhideWhenUsed/>
    <w:qFormat/>
    <w:uiPriority w:val="99"/>
    <w:rPr>
      <w:rFonts w:ascii="Times New Roman" w:hAnsi="Times New Roman"/>
      <w:sz w:val="24"/>
      <w:szCs w:val="24"/>
    </w:rPr>
  </w:style>
  <w:style w:type="paragraph" w:styleId="9">
    <w:name w:val="annotation subject"/>
    <w:basedOn w:val="4"/>
    <w:next w:val="4"/>
    <w:link w:val="18"/>
    <w:autoRedefine/>
    <w:qFormat/>
    <w:uiPriority w:val="0"/>
    <w:rPr>
      <w:b/>
      <w:bCs/>
    </w:rPr>
  </w:style>
  <w:style w:type="character" w:styleId="12">
    <w:name w:val="Hyperlink"/>
    <w:basedOn w:val="11"/>
    <w:autoRedefine/>
    <w:unhideWhenUsed/>
    <w:qFormat/>
    <w:uiPriority w:val="99"/>
    <w:rPr>
      <w:color w:val="0000FF" w:themeColor="hyperlink"/>
      <w:u w:val="single"/>
      <w14:textFill>
        <w14:solidFill>
          <w14:schemeClr w14:val="hlink"/>
        </w14:solidFill>
      </w14:textFill>
    </w:rPr>
  </w:style>
  <w:style w:type="character" w:styleId="13">
    <w:name w:val="annotation reference"/>
    <w:autoRedefine/>
    <w:qFormat/>
    <w:uiPriority w:val="0"/>
    <w:rPr>
      <w:rFonts w:ascii="Times New Roman" w:hAnsi="Times New Roman" w:eastAsia="宋体" w:cs="Times New Roman"/>
      <w:sz w:val="21"/>
      <w:szCs w:val="21"/>
    </w:rPr>
  </w:style>
  <w:style w:type="paragraph" w:customStyle="1" w:styleId="14">
    <w:name w:val="列出段落1"/>
    <w:basedOn w:val="1"/>
    <w:autoRedefine/>
    <w:qFormat/>
    <w:uiPriority w:val="0"/>
    <w:pPr>
      <w:ind w:firstLine="420" w:firstLineChars="200"/>
    </w:pPr>
    <w:rPr>
      <w:rFonts w:ascii="Times New Roman" w:hAnsi="Times New Roman"/>
    </w:rPr>
  </w:style>
  <w:style w:type="character" w:customStyle="1" w:styleId="15">
    <w:name w:val="标题 1 字符"/>
    <w:link w:val="2"/>
    <w:autoRedefine/>
    <w:qFormat/>
    <w:uiPriority w:val="0"/>
    <w:rPr>
      <w:rFonts w:ascii="Cambria" w:hAnsi="Cambria" w:eastAsia="Microsoft YaHei UI"/>
      <w:color w:val="4F81BD"/>
      <w:sz w:val="36"/>
      <w:szCs w:val="36"/>
      <w:lang w:val="en-US" w:eastAsia="ja-JP" w:bidi="ar-SA"/>
    </w:rPr>
  </w:style>
  <w:style w:type="character" w:customStyle="1" w:styleId="16">
    <w:name w:val="标题 2 字符"/>
    <w:link w:val="3"/>
    <w:autoRedefine/>
    <w:qFormat/>
    <w:uiPriority w:val="0"/>
    <w:rPr>
      <w:rFonts w:ascii="Calibri" w:hAnsi="Calibri" w:eastAsia="Microsoft YaHei UI"/>
      <w:b/>
      <w:bCs/>
      <w:color w:val="1F497D"/>
      <w:sz w:val="26"/>
      <w:szCs w:val="26"/>
      <w:lang w:val="en-US" w:eastAsia="ja-JP" w:bidi="ar-SA"/>
    </w:rPr>
  </w:style>
  <w:style w:type="character" w:customStyle="1" w:styleId="17">
    <w:name w:val="批注文字 字符"/>
    <w:link w:val="4"/>
    <w:autoRedefine/>
    <w:qFormat/>
    <w:uiPriority w:val="0"/>
    <w:rPr>
      <w:rFonts w:ascii="Calibri" w:hAnsi="Calibri" w:eastAsia="宋体" w:cs="Times New Roman"/>
      <w:kern w:val="2"/>
      <w:sz w:val="21"/>
      <w:szCs w:val="22"/>
    </w:rPr>
  </w:style>
  <w:style w:type="character" w:customStyle="1" w:styleId="18">
    <w:name w:val="批注主题 字符"/>
    <w:link w:val="9"/>
    <w:autoRedefine/>
    <w:qFormat/>
    <w:uiPriority w:val="0"/>
    <w:rPr>
      <w:rFonts w:ascii="Calibri" w:hAnsi="Calibri" w:eastAsia="宋体" w:cs="Times New Roman"/>
      <w:b/>
      <w:bCs/>
      <w:kern w:val="2"/>
      <w:sz w:val="21"/>
      <w:szCs w:val="22"/>
    </w:rPr>
  </w:style>
  <w:style w:type="character" w:customStyle="1" w:styleId="19">
    <w:name w:val="批注框文本 字符"/>
    <w:link w:val="5"/>
    <w:autoRedefine/>
    <w:qFormat/>
    <w:uiPriority w:val="0"/>
    <w:rPr>
      <w:rFonts w:ascii="Calibri" w:hAnsi="Calibri" w:eastAsia="宋体" w:cs="Times New Roman"/>
      <w:kern w:val="2"/>
      <w:sz w:val="18"/>
      <w:szCs w:val="18"/>
    </w:rPr>
  </w:style>
  <w:style w:type="character" w:customStyle="1" w:styleId="20">
    <w:name w:val="页脚 字符"/>
    <w:link w:val="6"/>
    <w:autoRedefine/>
    <w:qFormat/>
    <w:uiPriority w:val="99"/>
    <w:rPr>
      <w:rFonts w:ascii="Calibri" w:hAnsi="Calibri" w:eastAsia="宋体" w:cs="Times New Roman"/>
      <w:kern w:val="2"/>
      <w:sz w:val="18"/>
      <w:szCs w:val="18"/>
    </w:rPr>
  </w:style>
  <w:style w:type="character" w:customStyle="1" w:styleId="21">
    <w:name w:val="页眉 字符"/>
    <w:link w:val="7"/>
    <w:autoRedefine/>
    <w:qFormat/>
    <w:uiPriority w:val="99"/>
    <w:rPr>
      <w:rFonts w:ascii="Calibri" w:hAnsi="Calibri" w:eastAsia="宋体" w:cs="Times New Roman"/>
      <w:kern w:val="2"/>
      <w:sz w:val="18"/>
      <w:szCs w:val="18"/>
    </w:rPr>
  </w:style>
  <w:style w:type="character" w:customStyle="1" w:styleId="22">
    <w:name w:val="Unresolved Mention"/>
    <w:basedOn w:val="11"/>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645376-DFE4-42B4-8E47-EF913A9FC2D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1572</Words>
  <Characters>8965</Characters>
  <Lines>74</Lines>
  <Paragraphs>21</Paragraphs>
  <TotalTime>1027</TotalTime>
  <ScaleCrop>false</ScaleCrop>
  <LinksUpToDate>false</LinksUpToDate>
  <CharactersWithSpaces>10516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2022-10-15T13:19:00Z</dcterms:created>
  <dc:creator>admin</dc:creator>
  <cp:lastModifiedBy>敖艳</cp:lastModifiedBy>
  <dcterms:modified xsi:type="dcterms:W3CDTF">2024-03-01T09:18:36Z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D4D868DAD4414F9396DD7B17F3B10BCF_12</vt:lpwstr>
  </property>
</Properties>
</file>